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15878" w14:textId="32E43443" w:rsidR="00FA356C" w:rsidRPr="002C248A" w:rsidRDefault="002C248A" w:rsidP="00E832C5">
      <w:pPr>
        <w:jc w:val="both"/>
        <w:rPr>
          <w:color w:val="548DD4" w:themeColor="text2" w:themeTint="99"/>
          <w:sz w:val="36"/>
          <w:szCs w:val="36"/>
        </w:rPr>
      </w:pPr>
      <w:r>
        <w:rPr>
          <w:color w:val="548DD4" w:themeColor="text2" w:themeTint="99"/>
          <w:sz w:val="36"/>
          <w:szCs w:val="36"/>
        </w:rPr>
        <w:t>Board of Deputies -</w:t>
      </w:r>
      <w:r w:rsidR="00FA356C" w:rsidRPr="002C248A">
        <w:rPr>
          <w:color w:val="548DD4" w:themeColor="text2" w:themeTint="99"/>
          <w:sz w:val="36"/>
          <w:szCs w:val="36"/>
        </w:rPr>
        <w:t xml:space="preserve"> </w:t>
      </w:r>
      <w:r>
        <w:rPr>
          <w:color w:val="548DD4" w:themeColor="text2" w:themeTint="99"/>
          <w:sz w:val="36"/>
          <w:szCs w:val="36"/>
        </w:rPr>
        <w:t>Highlights of the Year to October 2020</w:t>
      </w:r>
    </w:p>
    <w:p w14:paraId="7A258234" w14:textId="77777777" w:rsidR="002C248A" w:rsidRDefault="002C248A" w:rsidP="00E832C5">
      <w:pPr>
        <w:jc w:val="both"/>
      </w:pPr>
    </w:p>
    <w:p w14:paraId="1BB7B7B7" w14:textId="0E4F75F7" w:rsidR="002C248A" w:rsidRDefault="002C248A" w:rsidP="00E832C5">
      <w:pPr>
        <w:jc w:val="both"/>
      </w:pPr>
      <w:r>
        <w:t>Prepared by: Leigh Kogan</w:t>
      </w:r>
      <w:r>
        <w:tab/>
      </w:r>
      <w:r>
        <w:tab/>
      </w:r>
      <w:r>
        <w:tab/>
      </w:r>
      <w:r>
        <w:tab/>
      </w:r>
      <w:r>
        <w:tab/>
      </w:r>
      <w:r>
        <w:tab/>
      </w:r>
      <w:r w:rsidR="00B2557B">
        <w:tab/>
      </w:r>
      <w:r>
        <w:t>October 2020</w:t>
      </w:r>
    </w:p>
    <w:p w14:paraId="58E2EF95" w14:textId="77777777" w:rsidR="002C248A" w:rsidRDefault="002C248A" w:rsidP="00E832C5">
      <w:pPr>
        <w:jc w:val="both"/>
      </w:pPr>
    </w:p>
    <w:p w14:paraId="7E28D583" w14:textId="03BA9087" w:rsidR="009C4309" w:rsidRDefault="009C4309" w:rsidP="00E832C5">
      <w:pPr>
        <w:jc w:val="both"/>
      </w:pPr>
      <w:r>
        <w:t>I have attended several monthly</w:t>
      </w:r>
      <w:r w:rsidR="00614D0F">
        <w:t xml:space="preserve"> Board of Deputies</w:t>
      </w:r>
      <w:bookmarkStart w:id="0" w:name="_GoBack"/>
      <w:bookmarkEnd w:id="0"/>
      <w:r>
        <w:t xml:space="preserve"> meetings this year, both in person when this was possible, and more recently on Zoom.</w:t>
      </w:r>
    </w:p>
    <w:p w14:paraId="12632EAE" w14:textId="362AA15B" w:rsidR="002C248A" w:rsidRDefault="002C248A" w:rsidP="00E832C5">
      <w:pPr>
        <w:jc w:val="both"/>
      </w:pPr>
      <w:r>
        <w:t>I have prepared this short report to highlight some o</w:t>
      </w:r>
      <w:r w:rsidR="00E832C5">
        <w:t>f the wide-</w:t>
      </w:r>
      <w:r>
        <w:t>ranging work carried out by the Board of Deput</w:t>
      </w:r>
      <w:r w:rsidR="00DF1741">
        <w:t xml:space="preserve">ies.  There is much more that I could have </w:t>
      </w:r>
      <w:r>
        <w:t>list</w:t>
      </w:r>
      <w:r w:rsidR="00DF1741">
        <w:t>ed, ho</w:t>
      </w:r>
      <w:r>
        <w:t>wever, I hope that, after reading this paper, you will be convinced that your annual donation to the Board’s funds is exceedingly well spent!</w:t>
      </w:r>
    </w:p>
    <w:p w14:paraId="15CBC57E" w14:textId="77777777" w:rsidR="00FA356C" w:rsidRDefault="00FA356C" w:rsidP="00E832C5">
      <w:pPr>
        <w:jc w:val="both"/>
      </w:pPr>
    </w:p>
    <w:p w14:paraId="7270CCD8" w14:textId="77777777" w:rsidR="00456FD0" w:rsidRDefault="00456FD0" w:rsidP="00E832C5">
      <w:pPr>
        <w:jc w:val="both"/>
      </w:pPr>
    </w:p>
    <w:p w14:paraId="37789AF3" w14:textId="28DD3DC3" w:rsidR="002C248A" w:rsidRPr="002C248A" w:rsidRDefault="002C248A" w:rsidP="00E832C5">
      <w:pPr>
        <w:jc w:val="both"/>
        <w:rPr>
          <w:b/>
          <w:color w:val="548DD4" w:themeColor="text2" w:themeTint="99"/>
        </w:rPr>
      </w:pPr>
      <w:r w:rsidRPr="002C248A">
        <w:rPr>
          <w:b/>
          <w:color w:val="548DD4" w:themeColor="text2" w:themeTint="99"/>
        </w:rPr>
        <w:t>Political Engagement:</w:t>
      </w:r>
    </w:p>
    <w:p w14:paraId="74DDFE95" w14:textId="5939463F" w:rsidR="00B3640D" w:rsidRDefault="00B3640D" w:rsidP="00FD3F57">
      <w:pPr>
        <w:jc w:val="both"/>
      </w:pPr>
      <w:r>
        <w:t xml:space="preserve">Last year, we were in the midst of </w:t>
      </w:r>
      <w:r w:rsidRPr="001D4A42">
        <w:rPr>
          <w:b/>
        </w:rPr>
        <w:t>Labour’s</w:t>
      </w:r>
      <w:r>
        <w:t xml:space="preserve"> </w:t>
      </w:r>
      <w:r w:rsidRPr="001D4A42">
        <w:rPr>
          <w:b/>
        </w:rPr>
        <w:t>antisemitism</w:t>
      </w:r>
      <w:r>
        <w:t xml:space="preserve"> crisis</w:t>
      </w:r>
      <w:r w:rsidR="00FD3F57">
        <w:t>.</w:t>
      </w:r>
      <w:r>
        <w:t xml:space="preserve"> </w:t>
      </w:r>
      <w:r w:rsidR="00FD3F57">
        <w:t>Following the election and the change of leadership, t</w:t>
      </w:r>
      <w:r w:rsidR="002C248A">
        <w:t>he Board set out</w:t>
      </w:r>
      <w:r>
        <w:t xml:space="preserve"> </w:t>
      </w:r>
      <w:r w:rsidR="0082680E">
        <w:t>‘</w:t>
      </w:r>
      <w:r>
        <w:t>Ten Pledges</w:t>
      </w:r>
      <w:r w:rsidR="0082680E">
        <w:t>’</w:t>
      </w:r>
      <w:r w:rsidR="002132CE">
        <w:t xml:space="preserve"> on anti-Jewish racism.  These </w:t>
      </w:r>
      <w:r>
        <w:t xml:space="preserve">were enthusiastically adopted by the new </w:t>
      </w:r>
      <w:r w:rsidR="002C248A">
        <w:t xml:space="preserve">Labour </w:t>
      </w:r>
      <w:r>
        <w:t>leadership team. The progress we</w:t>
      </w:r>
      <w:r w:rsidR="00FD3F57">
        <w:t xml:space="preserve"> </w:t>
      </w:r>
      <w:r>
        <w:t>have seen is v</w:t>
      </w:r>
      <w:r w:rsidR="00A02926">
        <w:t>ery encouraging as evidenced by the sacking of Rebecca Long-Bailey</w:t>
      </w:r>
      <w:r w:rsidR="001A522E">
        <w:t xml:space="preserve"> from her Shadow Education role earlier this year.</w:t>
      </w:r>
    </w:p>
    <w:p w14:paraId="639373ED" w14:textId="77777777" w:rsidR="005301E4" w:rsidRDefault="005301E4" w:rsidP="00FD3F57">
      <w:pPr>
        <w:jc w:val="both"/>
      </w:pPr>
    </w:p>
    <w:tbl>
      <w:tblPr>
        <w:tblW w:w="5000" w:type="pct"/>
        <w:shd w:val="clear" w:color="auto" w:fill="FFFFFF"/>
        <w:tblCellMar>
          <w:left w:w="0" w:type="dxa"/>
          <w:right w:w="0" w:type="dxa"/>
        </w:tblCellMar>
        <w:tblLook w:val="04A0" w:firstRow="1" w:lastRow="0" w:firstColumn="1" w:lastColumn="0" w:noHBand="0" w:noVBand="1"/>
      </w:tblPr>
      <w:tblGrid>
        <w:gridCol w:w="9065"/>
      </w:tblGrid>
      <w:tr w:rsidR="005301E4" w:rsidRPr="00AD699B" w14:paraId="6D0F3642" w14:textId="77777777" w:rsidTr="0079132E">
        <w:trPr>
          <w:trHeight w:val="1165"/>
        </w:trPr>
        <w:tc>
          <w:tcPr>
            <w:tcW w:w="0" w:type="auto"/>
            <w:shd w:val="clear" w:color="auto" w:fill="FFFFFF"/>
            <w:vAlign w:val="center"/>
            <w:hideMark/>
          </w:tcPr>
          <w:p w14:paraId="046D3822" w14:textId="19364046" w:rsidR="005301E4" w:rsidRPr="0045007A" w:rsidRDefault="0045007A" w:rsidP="00456FD0">
            <w:pPr>
              <w:jc w:val="both"/>
              <w:rPr>
                <w:rFonts w:eastAsia="Times New Roman" w:cs="Times New Roman"/>
                <w:lang w:val="en-GB"/>
              </w:rPr>
            </w:pPr>
            <w:r>
              <w:rPr>
                <w:rFonts w:eastAsia="Times New Roman" w:cs="Times New Roman"/>
                <w:lang w:val="en-GB"/>
              </w:rPr>
              <w:t>With particular relevance to us in</w:t>
            </w:r>
            <w:r w:rsidR="00E40328" w:rsidRPr="0045007A">
              <w:rPr>
                <w:rFonts w:eastAsia="Times New Roman" w:cs="Times New Roman"/>
                <w:lang w:val="en-GB"/>
              </w:rPr>
              <w:t xml:space="preserve"> </w:t>
            </w:r>
            <w:r w:rsidR="005301E4" w:rsidRPr="00FB30B1">
              <w:rPr>
                <w:rFonts w:eastAsia="Times New Roman" w:cs="Times New Roman"/>
                <w:b/>
                <w:lang w:val="en-GB"/>
              </w:rPr>
              <w:t>Redbridge</w:t>
            </w:r>
            <w:r>
              <w:rPr>
                <w:rFonts w:eastAsia="Times New Roman" w:cs="Times New Roman"/>
                <w:lang w:val="en-GB"/>
              </w:rPr>
              <w:t>, local</w:t>
            </w:r>
            <w:r w:rsidR="005301E4" w:rsidRPr="0045007A">
              <w:rPr>
                <w:rFonts w:eastAsia="Times New Roman" w:cs="Times New Roman"/>
                <w:lang w:val="en-GB"/>
              </w:rPr>
              <w:t xml:space="preserve"> councillors reach</w:t>
            </w:r>
            <w:r w:rsidR="00E40328" w:rsidRPr="0045007A">
              <w:rPr>
                <w:rFonts w:eastAsia="Times New Roman" w:cs="Times New Roman"/>
                <w:lang w:val="en-GB"/>
              </w:rPr>
              <w:t>ed</w:t>
            </w:r>
            <w:r w:rsidR="005301E4" w:rsidRPr="0045007A">
              <w:rPr>
                <w:rFonts w:eastAsia="Times New Roman" w:cs="Times New Roman"/>
                <w:lang w:val="en-GB"/>
              </w:rPr>
              <w:t xml:space="preserve"> out to Board of Deputies over </w:t>
            </w:r>
            <w:r w:rsidR="00E40328" w:rsidRPr="0045007A">
              <w:rPr>
                <w:rFonts w:eastAsia="Times New Roman" w:cs="Times New Roman"/>
                <w:lang w:val="en-GB"/>
              </w:rPr>
              <w:t xml:space="preserve">anti-Semitism.  Board of Deputies Vice President Amanda Bowman met Redbridge councillors, including Council Leader Jas Athwal, to discuss </w:t>
            </w:r>
            <w:r w:rsidR="00FB30B1">
              <w:rPr>
                <w:rFonts w:eastAsia="Times New Roman" w:cs="Times New Roman"/>
                <w:lang w:val="en-GB"/>
              </w:rPr>
              <w:t xml:space="preserve">anti-Semitism </w:t>
            </w:r>
            <w:r w:rsidR="00CF21C7" w:rsidRPr="0045007A">
              <w:rPr>
                <w:rFonts w:eastAsia="Times New Roman" w:cs="Times New Roman"/>
                <w:lang w:val="en-GB"/>
              </w:rPr>
              <w:t>after allegations of antisemitic conduct in a Labour Party ward meeting emerged.</w:t>
            </w:r>
          </w:p>
        </w:tc>
      </w:tr>
      <w:tr w:rsidR="005301E4" w:rsidRPr="00AD699B" w14:paraId="7B00F36D" w14:textId="77777777" w:rsidTr="0079132E">
        <w:trPr>
          <w:trHeight w:val="27"/>
        </w:trPr>
        <w:tc>
          <w:tcPr>
            <w:tcW w:w="0" w:type="auto"/>
            <w:shd w:val="clear" w:color="auto" w:fill="FFFFFF"/>
            <w:tcMar>
              <w:top w:w="180" w:type="dxa"/>
              <w:left w:w="0" w:type="dxa"/>
              <w:bottom w:w="0" w:type="dxa"/>
              <w:right w:w="0" w:type="dxa"/>
            </w:tcMar>
            <w:vAlign w:val="center"/>
            <w:hideMark/>
          </w:tcPr>
          <w:p w14:paraId="7BA16DDF" w14:textId="4ADB6578" w:rsidR="005301E4" w:rsidRPr="0045007A" w:rsidRDefault="005301E4" w:rsidP="00E40328">
            <w:pPr>
              <w:spacing w:line="240" w:lineRule="atLeast"/>
              <w:jc w:val="both"/>
              <w:rPr>
                <w:rFonts w:eastAsia="Times New Roman" w:cs="Times New Roman"/>
                <w:lang w:val="en-GB"/>
              </w:rPr>
            </w:pPr>
          </w:p>
        </w:tc>
      </w:tr>
    </w:tbl>
    <w:p w14:paraId="7EC7C1BD" w14:textId="77777777" w:rsidR="00B3640D" w:rsidRDefault="00B3640D" w:rsidP="00E832C5">
      <w:pPr>
        <w:jc w:val="both"/>
      </w:pPr>
    </w:p>
    <w:p w14:paraId="47E27D35" w14:textId="56EA3571" w:rsidR="002C248A" w:rsidRPr="002C248A" w:rsidRDefault="002C248A" w:rsidP="00E832C5">
      <w:pPr>
        <w:jc w:val="both"/>
        <w:rPr>
          <w:b/>
          <w:color w:val="548DD4" w:themeColor="text2" w:themeTint="99"/>
        </w:rPr>
      </w:pPr>
      <w:r w:rsidRPr="002C248A">
        <w:rPr>
          <w:b/>
          <w:color w:val="548DD4" w:themeColor="text2" w:themeTint="99"/>
        </w:rPr>
        <w:t>Racial Inclusivity:</w:t>
      </w:r>
    </w:p>
    <w:p w14:paraId="71065048" w14:textId="5D8CCFC6" w:rsidR="00B3640D" w:rsidRDefault="00955BE5" w:rsidP="00E832C5">
      <w:pPr>
        <w:jc w:val="both"/>
      </w:pPr>
      <w:r>
        <w:t>Further to</w:t>
      </w:r>
      <w:r w:rsidR="00B3640D">
        <w:t xml:space="preserve"> the worldwide movement</w:t>
      </w:r>
      <w:r w:rsidR="001B0FD8">
        <w:t>,</w:t>
      </w:r>
      <w:r w:rsidR="00B3640D">
        <w:t xml:space="preserve"> which</w:t>
      </w:r>
      <w:r>
        <w:t xml:space="preserve"> </w:t>
      </w:r>
      <w:r w:rsidR="00B3640D">
        <w:t>developed rapidly in response to the</w:t>
      </w:r>
      <w:r w:rsidR="001A522E">
        <w:t xml:space="preserve"> racist murder of George Floyd, many</w:t>
      </w:r>
      <w:r w:rsidR="00B3640D">
        <w:t xml:space="preserve"> in the</w:t>
      </w:r>
      <w:r>
        <w:t xml:space="preserve"> </w:t>
      </w:r>
      <w:r w:rsidR="00B3640D">
        <w:t>Jewish community felt we needed to formulate our own initiative. The result is the</w:t>
      </w:r>
      <w:r>
        <w:t xml:space="preserve"> </w:t>
      </w:r>
      <w:r w:rsidR="00B3640D">
        <w:t xml:space="preserve">Board of Deputies’ </w:t>
      </w:r>
      <w:r w:rsidR="001851C2">
        <w:t>‘</w:t>
      </w:r>
      <w:r w:rsidR="00B3640D" w:rsidRPr="001D4A42">
        <w:rPr>
          <w:b/>
        </w:rPr>
        <w:t>Commission on Racial Inclusivit</w:t>
      </w:r>
      <w:r w:rsidR="00B3640D" w:rsidRPr="001A522E">
        <w:rPr>
          <w:b/>
        </w:rPr>
        <w:t>y in the Jewish Community</w:t>
      </w:r>
      <w:r w:rsidR="00E6621B" w:rsidRPr="001A522E">
        <w:rPr>
          <w:b/>
        </w:rPr>
        <w:t>’</w:t>
      </w:r>
      <w:r w:rsidR="00B3640D">
        <w:t xml:space="preserve"> which</w:t>
      </w:r>
      <w:r>
        <w:t xml:space="preserve"> </w:t>
      </w:r>
      <w:r w:rsidR="00B3640D">
        <w:t xml:space="preserve">is being chaired by distinguished journalist Stephen Bush. </w:t>
      </w:r>
    </w:p>
    <w:p w14:paraId="50607430" w14:textId="77777777" w:rsidR="00B3640D" w:rsidRDefault="00B3640D" w:rsidP="00E832C5">
      <w:pPr>
        <w:jc w:val="both"/>
      </w:pPr>
    </w:p>
    <w:p w14:paraId="6C6F7BA5" w14:textId="77777777" w:rsidR="00456FD0" w:rsidRDefault="00456FD0" w:rsidP="00E832C5">
      <w:pPr>
        <w:jc w:val="both"/>
      </w:pPr>
    </w:p>
    <w:p w14:paraId="4B68A58C" w14:textId="16D082CF" w:rsidR="00B3640D" w:rsidRDefault="002C248A" w:rsidP="00E832C5">
      <w:pPr>
        <w:jc w:val="both"/>
      </w:pPr>
      <w:r w:rsidRPr="002C248A">
        <w:rPr>
          <w:b/>
          <w:color w:val="548DD4" w:themeColor="text2" w:themeTint="99"/>
        </w:rPr>
        <w:t>Interfaith</w:t>
      </w:r>
      <w:r>
        <w:t>:</w:t>
      </w:r>
    </w:p>
    <w:p w14:paraId="08A3C51A" w14:textId="7FFE88FB" w:rsidR="00B3640D" w:rsidRDefault="001A522E" w:rsidP="00E832C5">
      <w:pPr>
        <w:jc w:val="both"/>
      </w:pPr>
      <w:r>
        <w:t>The Board’s</w:t>
      </w:r>
      <w:r w:rsidR="00B3640D">
        <w:t xml:space="preserve"> interfaith activities have certainly made the news – for example our support for</w:t>
      </w:r>
      <w:r w:rsidR="00E6621B">
        <w:t xml:space="preserve"> </w:t>
      </w:r>
      <w:r w:rsidR="00B3640D">
        <w:t xml:space="preserve">the </w:t>
      </w:r>
      <w:r w:rsidR="00B3640D" w:rsidRPr="001D4A42">
        <w:rPr>
          <w:b/>
        </w:rPr>
        <w:t>Chinese Uyghur Muslims</w:t>
      </w:r>
      <w:r w:rsidR="00B3640D">
        <w:t xml:space="preserve"> currently suffering oppression in China, has raised</w:t>
      </w:r>
      <w:r w:rsidR="00E6621B">
        <w:t xml:space="preserve"> </w:t>
      </w:r>
      <w:r w:rsidR="00B3640D">
        <w:t>awareness of the problems</w:t>
      </w:r>
      <w:r w:rsidR="00E6621B">
        <w:t>.  In January, the Board organized an event in Parliament to support the Uyghurs.</w:t>
      </w:r>
      <w:r w:rsidR="000A26E9">
        <w:t>;  t</w:t>
      </w:r>
      <w:r w:rsidR="00F1353D">
        <w:t>his was attended by many MPs and faith leaders.</w:t>
      </w:r>
    </w:p>
    <w:tbl>
      <w:tblPr>
        <w:tblW w:w="5000" w:type="pct"/>
        <w:tblInd w:w="1440" w:type="dxa"/>
        <w:shd w:val="clear" w:color="auto" w:fill="FFFFFF"/>
        <w:tblCellMar>
          <w:left w:w="0" w:type="dxa"/>
          <w:right w:w="0" w:type="dxa"/>
        </w:tblCellMar>
        <w:tblLook w:val="04A0" w:firstRow="1" w:lastRow="0" w:firstColumn="1" w:lastColumn="0" w:noHBand="0" w:noVBand="1"/>
      </w:tblPr>
      <w:tblGrid>
        <w:gridCol w:w="9065"/>
      </w:tblGrid>
      <w:tr w:rsidR="00E6621B" w:rsidRPr="00AD699B" w14:paraId="65DA19AA" w14:textId="77777777" w:rsidTr="00E6621B">
        <w:tc>
          <w:tcPr>
            <w:tcW w:w="0" w:type="auto"/>
            <w:shd w:val="clear" w:color="auto" w:fill="FFFFFF"/>
            <w:vAlign w:val="center"/>
            <w:hideMark/>
          </w:tcPr>
          <w:p w14:paraId="2E1E922A" w14:textId="67346C47" w:rsidR="00E6621B" w:rsidRPr="00AD699B" w:rsidRDefault="00E6621B" w:rsidP="00E6621B">
            <w:pPr>
              <w:spacing w:line="330" w:lineRule="atLeast"/>
              <w:jc w:val="both"/>
              <w:rPr>
                <w:rFonts w:ascii="Helvetica Neue" w:eastAsia="Times New Roman" w:hAnsi="Helvetica Neue" w:cs="Times New Roman"/>
                <w:color w:val="005CA5"/>
                <w:sz w:val="30"/>
                <w:szCs w:val="30"/>
                <w:lang w:val="en-GB"/>
              </w:rPr>
            </w:pPr>
          </w:p>
        </w:tc>
      </w:tr>
    </w:tbl>
    <w:p w14:paraId="5836ED6E" w14:textId="77777777" w:rsidR="002C248A" w:rsidRDefault="002C248A" w:rsidP="00E832C5">
      <w:pPr>
        <w:jc w:val="both"/>
      </w:pPr>
    </w:p>
    <w:p w14:paraId="0BE7487A" w14:textId="77777777" w:rsidR="00456FD0" w:rsidRDefault="00456FD0" w:rsidP="00E832C5">
      <w:pPr>
        <w:jc w:val="both"/>
      </w:pPr>
    </w:p>
    <w:p w14:paraId="4E3F7192" w14:textId="72F4DB5B" w:rsidR="002C248A" w:rsidRDefault="002C248A" w:rsidP="00E832C5">
      <w:pPr>
        <w:jc w:val="both"/>
      </w:pPr>
      <w:r w:rsidRPr="00F2295E">
        <w:rPr>
          <w:b/>
          <w:color w:val="548DD4" w:themeColor="text2" w:themeTint="99"/>
        </w:rPr>
        <w:t>Education</w:t>
      </w:r>
      <w:r>
        <w:t>:</w:t>
      </w:r>
    </w:p>
    <w:p w14:paraId="00673FA2" w14:textId="33A9C3A1" w:rsidR="00B3640D" w:rsidRDefault="00B3640D" w:rsidP="001B0FD8">
      <w:pPr>
        <w:jc w:val="both"/>
      </w:pPr>
      <w:r>
        <w:t xml:space="preserve">Through Pikuach, </w:t>
      </w:r>
      <w:r w:rsidR="00F7308E">
        <w:t>the Board</w:t>
      </w:r>
      <w:r>
        <w:t xml:space="preserve"> supervise</w:t>
      </w:r>
      <w:r w:rsidR="00F7308E">
        <w:t>s</w:t>
      </w:r>
      <w:r>
        <w:t xml:space="preserve"> religious education in Jewish schools, and,</w:t>
      </w:r>
      <w:r w:rsidR="00F1353D">
        <w:t xml:space="preserve"> </w:t>
      </w:r>
      <w:r>
        <w:t xml:space="preserve">pandemic permitting, travel the country with the </w:t>
      </w:r>
      <w:r w:rsidRPr="001B0FD8">
        <w:rPr>
          <w:b/>
        </w:rPr>
        <w:t>Jewish Living Experience</w:t>
      </w:r>
      <w:r w:rsidR="00F1353D">
        <w:rPr>
          <w:b/>
        </w:rPr>
        <w:t xml:space="preserve"> </w:t>
      </w:r>
      <w:r w:rsidRPr="001B0FD8">
        <w:rPr>
          <w:b/>
        </w:rPr>
        <w:t>exhibition</w:t>
      </w:r>
      <w:r>
        <w:t>, educating non-Jewish children and adults about our way of life.</w:t>
      </w:r>
      <w:r w:rsidR="00F1353D">
        <w:t xml:space="preserve">  </w:t>
      </w:r>
    </w:p>
    <w:p w14:paraId="52B98DD0" w14:textId="77777777" w:rsidR="00B3640D" w:rsidRDefault="00B3640D" w:rsidP="00E832C5">
      <w:pPr>
        <w:jc w:val="both"/>
      </w:pPr>
    </w:p>
    <w:tbl>
      <w:tblPr>
        <w:tblW w:w="5000" w:type="pct"/>
        <w:tblCellMar>
          <w:left w:w="0" w:type="dxa"/>
          <w:right w:w="0" w:type="dxa"/>
        </w:tblCellMar>
        <w:tblLook w:val="04A0" w:firstRow="1" w:lastRow="0" w:firstColumn="1" w:lastColumn="0" w:noHBand="0" w:noVBand="1"/>
      </w:tblPr>
      <w:tblGrid>
        <w:gridCol w:w="9065"/>
      </w:tblGrid>
      <w:tr w:rsidR="00D73A31" w:rsidRPr="00B3640D" w14:paraId="65D010AE" w14:textId="77777777" w:rsidTr="0045007A">
        <w:tc>
          <w:tcPr>
            <w:tcW w:w="0" w:type="auto"/>
            <w:shd w:val="clear" w:color="auto" w:fill="FFFFFF"/>
            <w:vAlign w:val="center"/>
            <w:hideMark/>
          </w:tcPr>
          <w:p w14:paraId="4DD7AB36" w14:textId="392D5332" w:rsidR="00D73A31" w:rsidRPr="00B3640D" w:rsidRDefault="00D73A31" w:rsidP="0045007A">
            <w:pPr>
              <w:jc w:val="both"/>
              <w:rPr>
                <w:rFonts w:ascii="Helvetica" w:eastAsia="Times New Roman" w:hAnsi="Helvetica" w:cs="Times New Roman"/>
                <w:color w:val="8DB3E2" w:themeColor="text2" w:themeTint="66"/>
                <w:sz w:val="36"/>
                <w:szCs w:val="36"/>
                <w:lang w:val="en-GB"/>
              </w:rPr>
            </w:pPr>
          </w:p>
        </w:tc>
      </w:tr>
      <w:tr w:rsidR="00D73A31" w:rsidRPr="00B3640D" w14:paraId="3D761769" w14:textId="77777777" w:rsidTr="0045007A">
        <w:tc>
          <w:tcPr>
            <w:tcW w:w="0" w:type="auto"/>
            <w:shd w:val="clear" w:color="auto" w:fill="FFFFFF"/>
            <w:vAlign w:val="center"/>
            <w:hideMark/>
          </w:tcPr>
          <w:p w14:paraId="7A1CC9C9" w14:textId="1ADD6A53" w:rsidR="00D73A31" w:rsidRPr="00C9648F" w:rsidRDefault="00D73A31" w:rsidP="00C9648F">
            <w:pPr>
              <w:jc w:val="both"/>
              <w:rPr>
                <w:rFonts w:eastAsia="Times New Roman" w:cs="Times New Roman"/>
                <w:lang w:val="en-GB"/>
              </w:rPr>
            </w:pPr>
            <w:r w:rsidRPr="00C9648F">
              <w:rPr>
                <w:rFonts w:eastAsia="Times New Roman" w:cs="Times New Roman"/>
                <w:lang w:val="en-GB"/>
              </w:rPr>
              <w:t xml:space="preserve">A Jewish student at King's College London had their </w:t>
            </w:r>
            <w:r w:rsidRPr="00F7308E">
              <w:rPr>
                <w:rFonts w:eastAsia="Times New Roman" w:cs="Times New Roman"/>
                <w:b/>
                <w:lang w:val="en-GB"/>
              </w:rPr>
              <w:t>examination date</w:t>
            </w:r>
            <w:r w:rsidRPr="00C9648F">
              <w:rPr>
                <w:rFonts w:eastAsia="Times New Roman" w:cs="Times New Roman"/>
                <w:lang w:val="en-GB"/>
              </w:rPr>
              <w:t xml:space="preserve"> moved from the Jewish festival of Shavuot thanks to an intervention from the Board of Deputies and University Jewish Chaplaincy. </w:t>
            </w:r>
          </w:p>
        </w:tc>
      </w:tr>
    </w:tbl>
    <w:p w14:paraId="66B1CB78" w14:textId="11A402CF" w:rsidR="00456FD0" w:rsidRDefault="00456FD0" w:rsidP="00E832C5">
      <w:pPr>
        <w:jc w:val="both"/>
      </w:pPr>
    </w:p>
    <w:p w14:paraId="5C0C8C39" w14:textId="77777777" w:rsidR="00456FD0" w:rsidRDefault="00456FD0">
      <w:r>
        <w:br w:type="page"/>
      </w:r>
    </w:p>
    <w:p w14:paraId="62D7F377" w14:textId="77777777" w:rsidR="00D73A31" w:rsidRDefault="00D73A31" w:rsidP="00E832C5">
      <w:pPr>
        <w:jc w:val="both"/>
      </w:pPr>
    </w:p>
    <w:p w14:paraId="29B463A8" w14:textId="457B9496" w:rsidR="00B3640D" w:rsidRDefault="00F628DD" w:rsidP="00E832C5">
      <w:pPr>
        <w:jc w:val="both"/>
      </w:pPr>
      <w:r>
        <w:rPr>
          <w:b/>
          <w:color w:val="548DD4" w:themeColor="text2" w:themeTint="99"/>
        </w:rPr>
        <w:t>Israel</w:t>
      </w:r>
      <w:r w:rsidR="001D4A42">
        <w:t>:</w:t>
      </w:r>
    </w:p>
    <w:tbl>
      <w:tblPr>
        <w:tblW w:w="5000" w:type="pct"/>
        <w:shd w:val="clear" w:color="auto" w:fill="FFFFFF"/>
        <w:tblCellMar>
          <w:left w:w="0" w:type="dxa"/>
          <w:right w:w="0" w:type="dxa"/>
        </w:tblCellMar>
        <w:tblLook w:val="04A0" w:firstRow="1" w:lastRow="0" w:firstColumn="1" w:lastColumn="0" w:noHBand="0" w:noVBand="1"/>
      </w:tblPr>
      <w:tblGrid>
        <w:gridCol w:w="9065"/>
      </w:tblGrid>
      <w:tr w:rsidR="00F628DD" w:rsidRPr="004D206C" w14:paraId="1CA684EF" w14:textId="77777777" w:rsidTr="0045007A">
        <w:tc>
          <w:tcPr>
            <w:tcW w:w="0" w:type="auto"/>
            <w:shd w:val="clear" w:color="auto" w:fill="FFFFFF"/>
            <w:tcMar>
              <w:top w:w="180" w:type="dxa"/>
              <w:left w:w="0" w:type="dxa"/>
              <w:bottom w:w="0" w:type="dxa"/>
              <w:right w:w="0" w:type="dxa"/>
            </w:tcMar>
            <w:vAlign w:val="center"/>
            <w:hideMark/>
          </w:tcPr>
          <w:p w14:paraId="38F4A68F" w14:textId="19093914" w:rsidR="00F628DD" w:rsidRPr="00F2295E" w:rsidRDefault="00F628DD" w:rsidP="003F0100">
            <w:pPr>
              <w:rPr>
                <w:rFonts w:eastAsia="Times New Roman" w:cs="Times New Roman"/>
                <w:color w:val="000000"/>
                <w:lang w:val="en-GB"/>
              </w:rPr>
            </w:pPr>
          </w:p>
        </w:tc>
      </w:tr>
      <w:tr w:rsidR="004D206C" w:rsidRPr="00F628DD" w14:paraId="4EE48CAD" w14:textId="77777777" w:rsidTr="004D206C">
        <w:tc>
          <w:tcPr>
            <w:tcW w:w="0" w:type="auto"/>
            <w:shd w:val="clear" w:color="auto" w:fill="FFFFFF"/>
            <w:vAlign w:val="center"/>
            <w:hideMark/>
          </w:tcPr>
          <w:p w14:paraId="5FD37962" w14:textId="3AA610B9" w:rsidR="004D206C" w:rsidRPr="00F628DD" w:rsidRDefault="00F628DD" w:rsidP="00E124E3">
            <w:pPr>
              <w:jc w:val="both"/>
              <w:rPr>
                <w:rFonts w:eastAsia="Times New Roman" w:cs="Times New Roman"/>
                <w:lang w:val="en-GB"/>
              </w:rPr>
            </w:pPr>
            <w:r w:rsidRPr="00F628DD">
              <w:rPr>
                <w:rFonts w:eastAsia="Times New Roman" w:cs="Times New Roman"/>
                <w:lang w:val="en-GB"/>
              </w:rPr>
              <w:t>Local councillors, m</w:t>
            </w:r>
            <w:r w:rsidR="004D206C" w:rsidRPr="00F628DD">
              <w:rPr>
                <w:rFonts w:eastAsia="Times New Roman" w:cs="Times New Roman"/>
                <w:lang w:val="en-GB"/>
              </w:rPr>
              <w:t>ayors and politicians attend packed events to hear Israeli and Palestinian</w:t>
            </w:r>
            <w:r w:rsidRPr="00F628DD">
              <w:rPr>
                <w:rFonts w:eastAsia="Times New Roman" w:cs="Times New Roman"/>
                <w:lang w:val="en-GB"/>
              </w:rPr>
              <w:t>s</w:t>
            </w:r>
            <w:r w:rsidR="004D206C" w:rsidRPr="00F628DD">
              <w:rPr>
                <w:rFonts w:eastAsia="Times New Roman" w:cs="Times New Roman"/>
                <w:lang w:val="en-GB"/>
              </w:rPr>
              <w:t xml:space="preserve"> speak about their hopes for peace</w:t>
            </w:r>
            <w:r w:rsidR="00CA29E6">
              <w:rPr>
                <w:rFonts w:eastAsia="Times New Roman" w:cs="Times New Roman"/>
                <w:lang w:val="en-GB"/>
              </w:rPr>
              <w:t>.  The events were</w:t>
            </w:r>
            <w:r w:rsidRPr="00F628DD">
              <w:rPr>
                <w:rFonts w:eastAsia="Times New Roman" w:cs="Times New Roman"/>
                <w:lang w:val="en-GB"/>
              </w:rPr>
              <w:t xml:space="preserve"> organised by ‘</w:t>
            </w:r>
            <w:r w:rsidRPr="000C20C5">
              <w:rPr>
                <w:rFonts w:eastAsia="Times New Roman" w:cs="Times New Roman"/>
                <w:b/>
                <w:lang w:val="en-GB"/>
              </w:rPr>
              <w:t xml:space="preserve">Invest in Peace’, </w:t>
            </w:r>
            <w:r w:rsidRPr="00F628DD">
              <w:rPr>
                <w:rFonts w:eastAsia="Times New Roman" w:cs="Times New Roman"/>
                <w:lang w:val="en-GB"/>
              </w:rPr>
              <w:t xml:space="preserve">a joint initiative between the Board of Deputies of British Jews and Churches Together in Britain.  </w:t>
            </w:r>
            <w:r w:rsidR="00E124E3">
              <w:rPr>
                <w:rFonts w:eastAsia="Times New Roman" w:cs="Times New Roman"/>
                <w:lang w:val="en-GB"/>
              </w:rPr>
              <w:t>Recent</w:t>
            </w:r>
            <w:r w:rsidRPr="00F628DD">
              <w:rPr>
                <w:rFonts w:eastAsia="Times New Roman" w:cs="Times New Roman"/>
                <w:lang w:val="en-GB"/>
              </w:rPr>
              <w:t xml:space="preserve"> events took place at Kingston Liberal Synagogue, Avenue St Andrew’s United Reformed Church, and Bournemouth Hebrew Congregation.</w:t>
            </w:r>
          </w:p>
        </w:tc>
      </w:tr>
    </w:tbl>
    <w:p w14:paraId="59328255" w14:textId="77777777" w:rsidR="00BC0E00" w:rsidRDefault="00BC0E00" w:rsidP="00E832C5">
      <w:pPr>
        <w:jc w:val="both"/>
      </w:pPr>
    </w:p>
    <w:p w14:paraId="01BED811" w14:textId="57471DF9" w:rsidR="004D206C" w:rsidRDefault="00C61B88" w:rsidP="00E832C5">
      <w:pPr>
        <w:jc w:val="both"/>
      </w:pPr>
      <w:r w:rsidRPr="00B2557B">
        <w:rPr>
          <w:b/>
          <w:color w:val="548DD4" w:themeColor="text2" w:themeTint="99"/>
        </w:rPr>
        <w:t>Community</w:t>
      </w:r>
      <w:r>
        <w:t>:</w:t>
      </w:r>
    </w:p>
    <w:tbl>
      <w:tblPr>
        <w:tblW w:w="5000" w:type="pct"/>
        <w:shd w:val="clear" w:color="auto" w:fill="FFFFFF"/>
        <w:tblCellMar>
          <w:left w:w="0" w:type="dxa"/>
          <w:right w:w="0" w:type="dxa"/>
        </w:tblCellMar>
        <w:tblLook w:val="04A0" w:firstRow="1" w:lastRow="0" w:firstColumn="1" w:lastColumn="0" w:noHBand="0" w:noVBand="1"/>
      </w:tblPr>
      <w:tblGrid>
        <w:gridCol w:w="9065"/>
      </w:tblGrid>
      <w:tr w:rsidR="004D206C" w:rsidRPr="004D206C" w14:paraId="1CFACEA2" w14:textId="77777777" w:rsidTr="004D206C">
        <w:tc>
          <w:tcPr>
            <w:tcW w:w="0" w:type="auto"/>
            <w:shd w:val="clear" w:color="auto" w:fill="FFFFFF"/>
            <w:vAlign w:val="center"/>
            <w:hideMark/>
          </w:tcPr>
          <w:p w14:paraId="1173A7D8" w14:textId="5E55CC8C" w:rsidR="004D206C" w:rsidRPr="004D206C" w:rsidRDefault="004D206C" w:rsidP="00E832C5">
            <w:pPr>
              <w:spacing w:line="330" w:lineRule="atLeast"/>
              <w:jc w:val="both"/>
              <w:rPr>
                <w:rFonts w:ascii="Helvetica Neue" w:eastAsia="Times New Roman" w:hAnsi="Helvetica Neue" w:cs="Times New Roman"/>
                <w:color w:val="005CA5"/>
                <w:sz w:val="30"/>
                <w:szCs w:val="30"/>
                <w:lang w:val="en-GB"/>
              </w:rPr>
            </w:pPr>
          </w:p>
        </w:tc>
      </w:tr>
      <w:tr w:rsidR="004D206C" w:rsidRPr="004D206C" w14:paraId="131BA761" w14:textId="77777777" w:rsidTr="004D206C">
        <w:tc>
          <w:tcPr>
            <w:tcW w:w="0" w:type="auto"/>
            <w:shd w:val="clear" w:color="auto" w:fill="FFFFFF"/>
            <w:tcMar>
              <w:top w:w="180" w:type="dxa"/>
              <w:left w:w="0" w:type="dxa"/>
              <w:bottom w:w="0" w:type="dxa"/>
              <w:right w:w="0" w:type="dxa"/>
            </w:tcMar>
            <w:vAlign w:val="center"/>
            <w:hideMark/>
          </w:tcPr>
          <w:p w14:paraId="5CD5DA11" w14:textId="2A4931B8" w:rsidR="004D206C" w:rsidRPr="0082680E" w:rsidRDefault="00DE3280" w:rsidP="00E124E3">
            <w:pPr>
              <w:spacing w:line="240" w:lineRule="atLeast"/>
              <w:jc w:val="both"/>
              <w:rPr>
                <w:rFonts w:eastAsia="Times New Roman" w:cs="Times New Roman"/>
                <w:color w:val="000000"/>
                <w:lang w:val="en-GB"/>
              </w:rPr>
            </w:pPr>
            <w:r w:rsidRPr="003344EA">
              <w:rPr>
                <w:rFonts w:eastAsia="Times New Roman" w:cs="Times New Roman"/>
                <w:b/>
                <w:color w:val="000000"/>
                <w:lang w:val="en-GB"/>
              </w:rPr>
              <w:t>Social media:</w:t>
            </w:r>
            <w:r>
              <w:rPr>
                <w:rFonts w:eastAsia="Times New Roman" w:cs="Times New Roman"/>
                <w:color w:val="000000"/>
                <w:lang w:val="en-GB"/>
              </w:rPr>
              <w:t xml:space="preserve">  </w:t>
            </w:r>
            <w:r w:rsidR="004D206C" w:rsidRPr="0082680E">
              <w:rPr>
                <w:rFonts w:eastAsia="Times New Roman" w:cs="Times New Roman"/>
                <w:color w:val="000000"/>
                <w:lang w:val="en-GB"/>
              </w:rPr>
              <w:t>The Board of Deputies has partnered with Facebook and the Community Security Trust to produce a resource about how to tackle antisemitism on the social media platform.</w:t>
            </w:r>
            <w:r>
              <w:rPr>
                <w:rFonts w:eastAsia="Times New Roman" w:cs="Times New Roman"/>
                <w:color w:val="000000"/>
                <w:lang w:val="en-GB"/>
              </w:rPr>
              <w:t xml:space="preserve">  </w:t>
            </w:r>
            <w:r w:rsidR="004D206C" w:rsidRPr="0082680E">
              <w:rPr>
                <w:rFonts w:eastAsia="Times New Roman" w:cs="Times New Roman"/>
                <w:color w:val="000000"/>
                <w:lang w:val="en-GB"/>
              </w:rPr>
              <w:t>Th</w:t>
            </w:r>
            <w:r w:rsidR="00E124E3">
              <w:rPr>
                <w:rFonts w:eastAsia="Times New Roman" w:cs="Times New Roman"/>
                <w:color w:val="000000"/>
                <w:lang w:val="en-GB"/>
              </w:rPr>
              <w:t>is</w:t>
            </w:r>
            <w:r w:rsidR="004D206C" w:rsidRPr="0082680E">
              <w:rPr>
                <w:rFonts w:eastAsia="Times New Roman" w:cs="Times New Roman"/>
                <w:color w:val="000000"/>
                <w:lang w:val="en-GB"/>
              </w:rPr>
              <w:t xml:space="preserve"> resource, launched i</w:t>
            </w:r>
            <w:r w:rsidR="0082680E">
              <w:rPr>
                <w:rFonts w:eastAsia="Times New Roman" w:cs="Times New Roman"/>
                <w:color w:val="000000"/>
                <w:lang w:val="en-GB"/>
              </w:rPr>
              <w:t xml:space="preserve">n Parliament </w:t>
            </w:r>
            <w:r w:rsidR="004D206C" w:rsidRPr="0082680E">
              <w:rPr>
                <w:rFonts w:eastAsia="Times New Roman" w:cs="Times New Roman"/>
                <w:color w:val="000000"/>
                <w:lang w:val="en-GB"/>
              </w:rPr>
              <w:t>as part of National Hate Crime Awareness Week, explains what antisemitism is, how Facebook’s community guidelines work, and</w:t>
            </w:r>
            <w:r w:rsidR="00B4774E">
              <w:rPr>
                <w:rFonts w:eastAsia="Times New Roman" w:cs="Times New Roman"/>
                <w:color w:val="000000"/>
                <w:lang w:val="en-GB"/>
              </w:rPr>
              <w:t xml:space="preserve"> further steps Facebook will implement.</w:t>
            </w:r>
          </w:p>
        </w:tc>
      </w:tr>
    </w:tbl>
    <w:p w14:paraId="6CD5762D" w14:textId="77777777" w:rsidR="00527957" w:rsidRPr="003344EA" w:rsidRDefault="00527957" w:rsidP="003F0100">
      <w:pPr>
        <w:jc w:val="both"/>
      </w:pPr>
    </w:p>
    <w:tbl>
      <w:tblPr>
        <w:tblW w:w="5000" w:type="pct"/>
        <w:tblCellMar>
          <w:left w:w="0" w:type="dxa"/>
          <w:right w:w="0" w:type="dxa"/>
        </w:tblCellMar>
        <w:tblLook w:val="04A0" w:firstRow="1" w:lastRow="0" w:firstColumn="1" w:lastColumn="0" w:noHBand="0" w:noVBand="1"/>
      </w:tblPr>
      <w:tblGrid>
        <w:gridCol w:w="9065"/>
      </w:tblGrid>
      <w:tr w:rsidR="00B3640D" w:rsidRPr="003344EA" w14:paraId="60423B5B" w14:textId="77777777" w:rsidTr="00B3640D">
        <w:tc>
          <w:tcPr>
            <w:tcW w:w="0" w:type="auto"/>
            <w:shd w:val="clear" w:color="auto" w:fill="FFFFFF"/>
            <w:vAlign w:val="center"/>
            <w:hideMark/>
          </w:tcPr>
          <w:p w14:paraId="616EF03C" w14:textId="4BEB1478" w:rsidR="003344EA" w:rsidRPr="003344EA" w:rsidRDefault="00D8345E" w:rsidP="003F0100">
            <w:pPr>
              <w:jc w:val="both"/>
              <w:rPr>
                <w:rFonts w:eastAsia="Times New Roman" w:cs="Times New Roman"/>
                <w:lang w:val="en-GB"/>
              </w:rPr>
            </w:pPr>
            <w:r w:rsidRPr="003344EA">
              <w:rPr>
                <w:rFonts w:eastAsia="Times New Roman" w:cs="Times New Roman"/>
                <w:b/>
                <w:lang w:val="en-GB"/>
              </w:rPr>
              <w:t>Organ donation</w:t>
            </w:r>
            <w:r w:rsidRPr="003344EA">
              <w:rPr>
                <w:rFonts w:eastAsia="Times New Roman" w:cs="Times New Roman"/>
                <w:lang w:val="en-GB"/>
              </w:rPr>
              <w:t xml:space="preserve">:  </w:t>
            </w:r>
            <w:r w:rsidR="00C4659C">
              <w:rPr>
                <w:rFonts w:eastAsia="Times New Roman" w:cs="Times New Roman"/>
                <w:lang w:val="en-GB"/>
              </w:rPr>
              <w:t xml:space="preserve">The </w:t>
            </w:r>
            <w:r w:rsidR="00B3640D" w:rsidRPr="003344EA">
              <w:rPr>
                <w:rFonts w:eastAsia="Times New Roman" w:cs="Times New Roman"/>
                <w:lang w:val="en-GB"/>
              </w:rPr>
              <w:t>Board of Deputies welcome</w:t>
            </w:r>
            <w:r w:rsidR="003344EA" w:rsidRPr="003344EA">
              <w:rPr>
                <w:rFonts w:eastAsia="Times New Roman" w:cs="Times New Roman"/>
                <w:lang w:val="en-GB"/>
              </w:rPr>
              <w:t>d</w:t>
            </w:r>
            <w:r w:rsidR="00B3640D" w:rsidRPr="003344EA">
              <w:rPr>
                <w:rFonts w:eastAsia="Times New Roman" w:cs="Times New Roman"/>
                <w:lang w:val="en-GB"/>
              </w:rPr>
              <w:t xml:space="preserve"> </w:t>
            </w:r>
            <w:r w:rsidR="00C4659C">
              <w:rPr>
                <w:rFonts w:eastAsia="Times New Roman" w:cs="Times New Roman"/>
                <w:lang w:val="en-GB"/>
              </w:rPr>
              <w:t xml:space="preserve">religious </w:t>
            </w:r>
            <w:r w:rsidR="00B3640D" w:rsidRPr="003344EA">
              <w:rPr>
                <w:rFonts w:eastAsia="Times New Roman" w:cs="Times New Roman"/>
                <w:lang w:val="en-GB"/>
              </w:rPr>
              <w:t xml:space="preserve">safeguards </w:t>
            </w:r>
            <w:r w:rsidR="00C4659C">
              <w:rPr>
                <w:rFonts w:eastAsia="Times New Roman" w:cs="Times New Roman"/>
                <w:lang w:val="en-GB"/>
              </w:rPr>
              <w:t>contained within</w:t>
            </w:r>
            <w:r w:rsidR="00B3640D" w:rsidRPr="003344EA">
              <w:rPr>
                <w:rFonts w:eastAsia="Times New Roman" w:cs="Times New Roman"/>
                <w:lang w:val="en-GB"/>
              </w:rPr>
              <w:t xml:space="preserve"> </w:t>
            </w:r>
            <w:r w:rsidR="00C4659C">
              <w:rPr>
                <w:rFonts w:eastAsia="Times New Roman" w:cs="Times New Roman"/>
                <w:lang w:val="en-GB"/>
              </w:rPr>
              <w:t xml:space="preserve">the </w:t>
            </w:r>
            <w:r w:rsidR="00B3640D" w:rsidRPr="003344EA">
              <w:rPr>
                <w:rFonts w:eastAsia="Times New Roman" w:cs="Times New Roman"/>
                <w:lang w:val="en-GB"/>
              </w:rPr>
              <w:t xml:space="preserve">new organ donation </w:t>
            </w:r>
            <w:r w:rsidR="00C4659C">
              <w:rPr>
                <w:rFonts w:eastAsia="Times New Roman" w:cs="Times New Roman"/>
                <w:lang w:val="en-GB"/>
              </w:rPr>
              <w:t>process</w:t>
            </w:r>
            <w:r w:rsidR="003344EA" w:rsidRPr="003344EA">
              <w:rPr>
                <w:rFonts w:eastAsia="Times New Roman" w:cs="Times New Roman"/>
                <w:lang w:val="en-GB"/>
              </w:rPr>
              <w:t xml:space="preserve">.  </w:t>
            </w:r>
            <w:r w:rsidR="003344EA" w:rsidRPr="003344EA">
              <w:rPr>
                <w:rFonts w:eastAsia="Times New Roman" w:cs="Times New Roman"/>
                <w:bCs/>
                <w:lang w:val="en-GB"/>
              </w:rPr>
              <w:t>Vice President Amanda Bowman, Medical Adviser Professor David Katz </w:t>
            </w:r>
            <w:r w:rsidR="003344EA" w:rsidRPr="003344EA">
              <w:rPr>
                <w:rFonts w:eastAsia="Times New Roman" w:cs="Times New Roman"/>
                <w:lang w:val="en-GB"/>
              </w:rPr>
              <w:t>and </w:t>
            </w:r>
            <w:r w:rsidR="003344EA" w:rsidRPr="003344EA">
              <w:rPr>
                <w:rFonts w:eastAsia="Times New Roman" w:cs="Times New Roman"/>
                <w:bCs/>
                <w:lang w:val="en-GB"/>
              </w:rPr>
              <w:t>Government, Regional and Religious Affairs Officer Daniel Elton </w:t>
            </w:r>
            <w:r w:rsidR="003344EA" w:rsidRPr="003344EA">
              <w:rPr>
                <w:rFonts w:eastAsia="Times New Roman" w:cs="Times New Roman"/>
                <w:lang w:val="en-GB"/>
              </w:rPr>
              <w:t xml:space="preserve">attended a Board of Deputies-organised Zoom session at which donation experts and transplant recipients spoke to Deputies and Jewish medical professionals from around the country, urging Jewish communities to engage in the organ donation system.  </w:t>
            </w:r>
          </w:p>
          <w:tbl>
            <w:tblPr>
              <w:tblW w:w="5000" w:type="pct"/>
              <w:shd w:val="clear" w:color="auto" w:fill="FFFFFF"/>
              <w:tblCellMar>
                <w:left w:w="0" w:type="dxa"/>
                <w:right w:w="0" w:type="dxa"/>
              </w:tblCellMar>
              <w:tblLook w:val="04A0" w:firstRow="1" w:lastRow="0" w:firstColumn="1" w:lastColumn="0" w:noHBand="0" w:noVBand="1"/>
            </w:tblPr>
            <w:tblGrid>
              <w:gridCol w:w="9065"/>
            </w:tblGrid>
            <w:tr w:rsidR="003344EA" w:rsidRPr="003344EA" w14:paraId="03198652" w14:textId="77777777" w:rsidTr="00FB30B1">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65"/>
                  </w:tblGrid>
                  <w:tr w:rsidR="003344EA" w:rsidRPr="003344EA" w14:paraId="28907B25" w14:textId="77777777" w:rsidTr="00FB30B1">
                    <w:trPr>
                      <w:jc w:val="center"/>
                    </w:trPr>
                    <w:tc>
                      <w:tcPr>
                        <w:tcW w:w="0" w:type="auto"/>
                        <w:tcMar>
                          <w:top w:w="300" w:type="dxa"/>
                          <w:left w:w="0" w:type="dxa"/>
                          <w:bottom w:w="0" w:type="dxa"/>
                          <w:right w:w="0" w:type="dxa"/>
                        </w:tcMar>
                        <w:vAlign w:val="center"/>
                        <w:hideMark/>
                      </w:tcPr>
                      <w:p w14:paraId="7803102D" w14:textId="77777777" w:rsidR="003344EA" w:rsidRPr="003344EA" w:rsidRDefault="003344EA" w:rsidP="003F0100">
                        <w:pPr>
                          <w:jc w:val="both"/>
                          <w:rPr>
                            <w:rFonts w:eastAsia="Times New Roman" w:cs="Times New Roman"/>
                            <w:spacing w:val="45"/>
                            <w:lang w:val="en-GB"/>
                          </w:rPr>
                        </w:pPr>
                      </w:p>
                    </w:tc>
                  </w:tr>
                  <w:tr w:rsidR="003344EA" w:rsidRPr="003344EA" w14:paraId="738870E5" w14:textId="77777777" w:rsidTr="00FB30B1">
                    <w:trPr>
                      <w:trHeight w:val="20"/>
                      <w:jc w:val="center"/>
                    </w:trPr>
                    <w:tc>
                      <w:tcPr>
                        <w:tcW w:w="0" w:type="auto"/>
                        <w:tcMar>
                          <w:top w:w="120" w:type="dxa"/>
                          <w:left w:w="0" w:type="dxa"/>
                          <w:bottom w:w="0" w:type="dxa"/>
                          <w:right w:w="0" w:type="dxa"/>
                        </w:tcMar>
                        <w:vAlign w:val="center"/>
                        <w:hideMark/>
                      </w:tcPr>
                      <w:p w14:paraId="49D10A64" w14:textId="407C83AE" w:rsidR="003344EA" w:rsidRPr="003344EA" w:rsidRDefault="003344EA" w:rsidP="003F0100">
                        <w:pPr>
                          <w:jc w:val="both"/>
                          <w:rPr>
                            <w:rFonts w:eastAsia="Times New Roman" w:cs="Times New Roman"/>
                            <w:lang w:val="en-GB"/>
                          </w:rPr>
                        </w:pPr>
                      </w:p>
                    </w:tc>
                  </w:tr>
                </w:tbl>
                <w:p w14:paraId="546007D6" w14:textId="77777777" w:rsidR="003344EA" w:rsidRPr="003344EA" w:rsidRDefault="003344EA" w:rsidP="003F0100">
                  <w:pPr>
                    <w:jc w:val="both"/>
                    <w:rPr>
                      <w:rFonts w:eastAsia="Times New Roman" w:cs="Times New Roman"/>
                      <w:lang w:val="en-GB"/>
                    </w:rPr>
                  </w:pPr>
                </w:p>
              </w:tc>
            </w:tr>
          </w:tbl>
          <w:p w14:paraId="0542A8A5" w14:textId="77777777" w:rsidR="003344EA" w:rsidRDefault="003344EA" w:rsidP="003F0100">
            <w:pPr>
              <w:jc w:val="both"/>
            </w:pPr>
          </w:p>
          <w:p w14:paraId="08337916" w14:textId="77777777" w:rsidR="008D66AF" w:rsidRDefault="008D66AF" w:rsidP="003F0100">
            <w:pPr>
              <w:jc w:val="both"/>
            </w:pPr>
          </w:p>
          <w:p w14:paraId="39B8F298" w14:textId="7CE0B824" w:rsidR="008D66AF" w:rsidRPr="008D66AF" w:rsidRDefault="00842D97" w:rsidP="003F0100">
            <w:pPr>
              <w:jc w:val="both"/>
              <w:rPr>
                <w:i/>
              </w:rPr>
            </w:pPr>
            <w:r>
              <w:rPr>
                <w:i/>
              </w:rPr>
              <w:t xml:space="preserve">Note:  </w:t>
            </w:r>
            <w:r w:rsidR="008D66AF" w:rsidRPr="008D66AF">
              <w:rPr>
                <w:i/>
              </w:rPr>
              <w:t>Sections of this report have been copied directly from the weekly Communal Briefing email update issued by the Board.</w:t>
            </w:r>
          </w:p>
          <w:p w14:paraId="21562C49" w14:textId="18827FD6" w:rsidR="003344EA" w:rsidRPr="003344EA" w:rsidRDefault="003344EA" w:rsidP="003F0100">
            <w:pPr>
              <w:jc w:val="both"/>
              <w:rPr>
                <w:rFonts w:eastAsia="Times New Roman" w:cs="Times New Roman"/>
                <w:lang w:val="en-GB"/>
              </w:rPr>
            </w:pPr>
          </w:p>
          <w:p w14:paraId="7659709D" w14:textId="330D53D7" w:rsidR="00B3640D" w:rsidRPr="003344EA" w:rsidRDefault="00B3640D" w:rsidP="003F0100">
            <w:pPr>
              <w:jc w:val="both"/>
              <w:rPr>
                <w:rFonts w:eastAsia="Times New Roman" w:cs="Times New Roman"/>
                <w:lang w:val="en-GB"/>
              </w:rPr>
            </w:pPr>
          </w:p>
        </w:tc>
      </w:tr>
      <w:tr w:rsidR="00B3640D" w:rsidRPr="003344EA" w14:paraId="6543747F" w14:textId="77777777" w:rsidTr="00B3640D">
        <w:tc>
          <w:tcPr>
            <w:tcW w:w="0" w:type="auto"/>
            <w:shd w:val="clear" w:color="auto" w:fill="FFFFFF"/>
            <w:vAlign w:val="center"/>
            <w:hideMark/>
          </w:tcPr>
          <w:p w14:paraId="67EC09DE" w14:textId="77777777" w:rsidR="00B3640D" w:rsidRPr="003344EA" w:rsidRDefault="00B3640D" w:rsidP="00E832C5">
            <w:pPr>
              <w:jc w:val="both"/>
              <w:rPr>
                <w:rFonts w:eastAsia="Times New Roman" w:cs="Times New Roman"/>
                <w:lang w:val="en-GB"/>
              </w:rPr>
            </w:pPr>
          </w:p>
        </w:tc>
      </w:tr>
      <w:tr w:rsidR="00B3640D" w:rsidRPr="003344EA" w14:paraId="71664BA7" w14:textId="77777777" w:rsidTr="00D73A31">
        <w:tc>
          <w:tcPr>
            <w:tcW w:w="0" w:type="auto"/>
            <w:shd w:val="clear" w:color="auto" w:fill="FFFFFF"/>
            <w:vAlign w:val="center"/>
          </w:tcPr>
          <w:p w14:paraId="3FC48670" w14:textId="797B6F28" w:rsidR="00B3640D" w:rsidRPr="003344EA" w:rsidRDefault="00B3640D" w:rsidP="00E832C5">
            <w:pPr>
              <w:jc w:val="both"/>
              <w:rPr>
                <w:rFonts w:eastAsia="Times New Roman" w:cs="Times New Roman"/>
                <w:color w:val="8DB3E2" w:themeColor="text2" w:themeTint="66"/>
                <w:lang w:val="en-GB"/>
              </w:rPr>
            </w:pPr>
          </w:p>
        </w:tc>
      </w:tr>
    </w:tbl>
    <w:p w14:paraId="2BAE88E6" w14:textId="77777777" w:rsidR="003344EA" w:rsidRDefault="003344EA"/>
    <w:sectPr w:rsidR="003344EA" w:rsidSect="00AF050D">
      <w:pgSz w:w="11901" w:h="16817"/>
      <w:pgMar w:top="1418" w:right="1418" w:bottom="964" w:left="1418" w:header="851"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00"/>
    <w:rsid w:val="000A26E9"/>
    <w:rsid w:val="000C20C5"/>
    <w:rsid w:val="001200D3"/>
    <w:rsid w:val="001851C2"/>
    <w:rsid w:val="001A522E"/>
    <w:rsid w:val="001B0FD8"/>
    <w:rsid w:val="001D4A42"/>
    <w:rsid w:val="002132CE"/>
    <w:rsid w:val="002C248A"/>
    <w:rsid w:val="00331A3F"/>
    <w:rsid w:val="003344EA"/>
    <w:rsid w:val="003A05D8"/>
    <w:rsid w:val="003C5D57"/>
    <w:rsid w:val="003F0100"/>
    <w:rsid w:val="0045007A"/>
    <w:rsid w:val="00456FD0"/>
    <w:rsid w:val="004D206C"/>
    <w:rsid w:val="00527957"/>
    <w:rsid w:val="005301E4"/>
    <w:rsid w:val="00530664"/>
    <w:rsid w:val="00556413"/>
    <w:rsid w:val="00614D0F"/>
    <w:rsid w:val="0079132E"/>
    <w:rsid w:val="0082680E"/>
    <w:rsid w:val="00842D97"/>
    <w:rsid w:val="008D66AF"/>
    <w:rsid w:val="00955BE5"/>
    <w:rsid w:val="009C4309"/>
    <w:rsid w:val="00A02926"/>
    <w:rsid w:val="00AA1AA4"/>
    <w:rsid w:val="00AD699B"/>
    <w:rsid w:val="00AF050D"/>
    <w:rsid w:val="00B2557B"/>
    <w:rsid w:val="00B3640D"/>
    <w:rsid w:val="00B4774E"/>
    <w:rsid w:val="00BC0E00"/>
    <w:rsid w:val="00C4659C"/>
    <w:rsid w:val="00C61B88"/>
    <w:rsid w:val="00C72B4C"/>
    <w:rsid w:val="00C9648F"/>
    <w:rsid w:val="00CA29E6"/>
    <w:rsid w:val="00CF21C7"/>
    <w:rsid w:val="00D73A31"/>
    <w:rsid w:val="00D8345E"/>
    <w:rsid w:val="00DE3280"/>
    <w:rsid w:val="00DF1741"/>
    <w:rsid w:val="00E124E3"/>
    <w:rsid w:val="00E40328"/>
    <w:rsid w:val="00E6621B"/>
    <w:rsid w:val="00E832C5"/>
    <w:rsid w:val="00EE0F5C"/>
    <w:rsid w:val="00F1353D"/>
    <w:rsid w:val="00F2295E"/>
    <w:rsid w:val="00F628DD"/>
    <w:rsid w:val="00F7308E"/>
    <w:rsid w:val="00FA356C"/>
    <w:rsid w:val="00FA3EAB"/>
    <w:rsid w:val="00FB30B1"/>
    <w:rsid w:val="00FD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C7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40D"/>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364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40D"/>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36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091">
      <w:bodyDiv w:val="1"/>
      <w:marLeft w:val="0"/>
      <w:marRight w:val="0"/>
      <w:marTop w:val="0"/>
      <w:marBottom w:val="0"/>
      <w:divBdr>
        <w:top w:val="none" w:sz="0" w:space="0" w:color="auto"/>
        <w:left w:val="none" w:sz="0" w:space="0" w:color="auto"/>
        <w:bottom w:val="none" w:sz="0" w:space="0" w:color="auto"/>
        <w:right w:val="none" w:sz="0" w:space="0" w:color="auto"/>
      </w:divBdr>
    </w:div>
    <w:div w:id="615257209">
      <w:bodyDiv w:val="1"/>
      <w:marLeft w:val="0"/>
      <w:marRight w:val="0"/>
      <w:marTop w:val="0"/>
      <w:marBottom w:val="0"/>
      <w:divBdr>
        <w:top w:val="none" w:sz="0" w:space="0" w:color="auto"/>
        <w:left w:val="none" w:sz="0" w:space="0" w:color="auto"/>
        <w:bottom w:val="none" w:sz="0" w:space="0" w:color="auto"/>
        <w:right w:val="none" w:sz="0" w:space="0" w:color="auto"/>
      </w:divBdr>
    </w:div>
    <w:div w:id="678510485">
      <w:bodyDiv w:val="1"/>
      <w:marLeft w:val="0"/>
      <w:marRight w:val="0"/>
      <w:marTop w:val="0"/>
      <w:marBottom w:val="0"/>
      <w:divBdr>
        <w:top w:val="none" w:sz="0" w:space="0" w:color="auto"/>
        <w:left w:val="none" w:sz="0" w:space="0" w:color="auto"/>
        <w:bottom w:val="none" w:sz="0" w:space="0" w:color="auto"/>
        <w:right w:val="none" w:sz="0" w:space="0" w:color="auto"/>
      </w:divBdr>
    </w:div>
    <w:div w:id="751240284">
      <w:bodyDiv w:val="1"/>
      <w:marLeft w:val="0"/>
      <w:marRight w:val="0"/>
      <w:marTop w:val="0"/>
      <w:marBottom w:val="0"/>
      <w:divBdr>
        <w:top w:val="none" w:sz="0" w:space="0" w:color="auto"/>
        <w:left w:val="none" w:sz="0" w:space="0" w:color="auto"/>
        <w:bottom w:val="none" w:sz="0" w:space="0" w:color="auto"/>
        <w:right w:val="none" w:sz="0" w:space="0" w:color="auto"/>
      </w:divBdr>
    </w:div>
    <w:div w:id="848831812">
      <w:bodyDiv w:val="1"/>
      <w:marLeft w:val="0"/>
      <w:marRight w:val="0"/>
      <w:marTop w:val="0"/>
      <w:marBottom w:val="0"/>
      <w:divBdr>
        <w:top w:val="none" w:sz="0" w:space="0" w:color="auto"/>
        <w:left w:val="none" w:sz="0" w:space="0" w:color="auto"/>
        <w:bottom w:val="none" w:sz="0" w:space="0" w:color="auto"/>
        <w:right w:val="none" w:sz="0" w:space="0" w:color="auto"/>
      </w:divBdr>
    </w:div>
    <w:div w:id="852763436">
      <w:bodyDiv w:val="1"/>
      <w:marLeft w:val="0"/>
      <w:marRight w:val="0"/>
      <w:marTop w:val="0"/>
      <w:marBottom w:val="0"/>
      <w:divBdr>
        <w:top w:val="none" w:sz="0" w:space="0" w:color="auto"/>
        <w:left w:val="none" w:sz="0" w:space="0" w:color="auto"/>
        <w:bottom w:val="none" w:sz="0" w:space="0" w:color="auto"/>
        <w:right w:val="none" w:sz="0" w:space="0" w:color="auto"/>
      </w:divBdr>
    </w:div>
    <w:div w:id="910845886">
      <w:bodyDiv w:val="1"/>
      <w:marLeft w:val="0"/>
      <w:marRight w:val="0"/>
      <w:marTop w:val="0"/>
      <w:marBottom w:val="0"/>
      <w:divBdr>
        <w:top w:val="none" w:sz="0" w:space="0" w:color="auto"/>
        <w:left w:val="none" w:sz="0" w:space="0" w:color="auto"/>
        <w:bottom w:val="none" w:sz="0" w:space="0" w:color="auto"/>
        <w:right w:val="none" w:sz="0" w:space="0" w:color="auto"/>
      </w:divBdr>
    </w:div>
    <w:div w:id="1041709505">
      <w:bodyDiv w:val="1"/>
      <w:marLeft w:val="0"/>
      <w:marRight w:val="0"/>
      <w:marTop w:val="0"/>
      <w:marBottom w:val="0"/>
      <w:divBdr>
        <w:top w:val="none" w:sz="0" w:space="0" w:color="auto"/>
        <w:left w:val="none" w:sz="0" w:space="0" w:color="auto"/>
        <w:bottom w:val="none" w:sz="0" w:space="0" w:color="auto"/>
        <w:right w:val="none" w:sz="0" w:space="0" w:color="auto"/>
      </w:divBdr>
    </w:div>
    <w:div w:id="1052080016">
      <w:bodyDiv w:val="1"/>
      <w:marLeft w:val="0"/>
      <w:marRight w:val="0"/>
      <w:marTop w:val="0"/>
      <w:marBottom w:val="0"/>
      <w:divBdr>
        <w:top w:val="none" w:sz="0" w:space="0" w:color="auto"/>
        <w:left w:val="none" w:sz="0" w:space="0" w:color="auto"/>
        <w:bottom w:val="none" w:sz="0" w:space="0" w:color="auto"/>
        <w:right w:val="none" w:sz="0" w:space="0" w:color="auto"/>
      </w:divBdr>
    </w:div>
    <w:div w:id="1113983411">
      <w:bodyDiv w:val="1"/>
      <w:marLeft w:val="0"/>
      <w:marRight w:val="0"/>
      <w:marTop w:val="0"/>
      <w:marBottom w:val="0"/>
      <w:divBdr>
        <w:top w:val="none" w:sz="0" w:space="0" w:color="auto"/>
        <w:left w:val="none" w:sz="0" w:space="0" w:color="auto"/>
        <w:bottom w:val="none" w:sz="0" w:space="0" w:color="auto"/>
        <w:right w:val="none" w:sz="0" w:space="0" w:color="auto"/>
      </w:divBdr>
    </w:div>
    <w:div w:id="1167940546">
      <w:bodyDiv w:val="1"/>
      <w:marLeft w:val="0"/>
      <w:marRight w:val="0"/>
      <w:marTop w:val="0"/>
      <w:marBottom w:val="0"/>
      <w:divBdr>
        <w:top w:val="none" w:sz="0" w:space="0" w:color="auto"/>
        <w:left w:val="none" w:sz="0" w:space="0" w:color="auto"/>
        <w:bottom w:val="none" w:sz="0" w:space="0" w:color="auto"/>
        <w:right w:val="none" w:sz="0" w:space="0" w:color="auto"/>
      </w:divBdr>
    </w:div>
    <w:div w:id="1177504098">
      <w:bodyDiv w:val="1"/>
      <w:marLeft w:val="0"/>
      <w:marRight w:val="0"/>
      <w:marTop w:val="0"/>
      <w:marBottom w:val="0"/>
      <w:divBdr>
        <w:top w:val="none" w:sz="0" w:space="0" w:color="auto"/>
        <w:left w:val="none" w:sz="0" w:space="0" w:color="auto"/>
        <w:bottom w:val="none" w:sz="0" w:space="0" w:color="auto"/>
        <w:right w:val="none" w:sz="0" w:space="0" w:color="auto"/>
      </w:divBdr>
    </w:div>
    <w:div w:id="1265184082">
      <w:bodyDiv w:val="1"/>
      <w:marLeft w:val="0"/>
      <w:marRight w:val="0"/>
      <w:marTop w:val="0"/>
      <w:marBottom w:val="0"/>
      <w:divBdr>
        <w:top w:val="none" w:sz="0" w:space="0" w:color="auto"/>
        <w:left w:val="none" w:sz="0" w:space="0" w:color="auto"/>
        <w:bottom w:val="none" w:sz="0" w:space="0" w:color="auto"/>
        <w:right w:val="none" w:sz="0" w:space="0" w:color="auto"/>
      </w:divBdr>
    </w:div>
    <w:div w:id="1281373296">
      <w:bodyDiv w:val="1"/>
      <w:marLeft w:val="0"/>
      <w:marRight w:val="0"/>
      <w:marTop w:val="0"/>
      <w:marBottom w:val="0"/>
      <w:divBdr>
        <w:top w:val="none" w:sz="0" w:space="0" w:color="auto"/>
        <w:left w:val="none" w:sz="0" w:space="0" w:color="auto"/>
        <w:bottom w:val="none" w:sz="0" w:space="0" w:color="auto"/>
        <w:right w:val="none" w:sz="0" w:space="0" w:color="auto"/>
      </w:divBdr>
    </w:div>
    <w:div w:id="1287738480">
      <w:bodyDiv w:val="1"/>
      <w:marLeft w:val="0"/>
      <w:marRight w:val="0"/>
      <w:marTop w:val="0"/>
      <w:marBottom w:val="0"/>
      <w:divBdr>
        <w:top w:val="none" w:sz="0" w:space="0" w:color="auto"/>
        <w:left w:val="none" w:sz="0" w:space="0" w:color="auto"/>
        <w:bottom w:val="none" w:sz="0" w:space="0" w:color="auto"/>
        <w:right w:val="none" w:sz="0" w:space="0" w:color="auto"/>
      </w:divBdr>
    </w:div>
    <w:div w:id="1375037994">
      <w:bodyDiv w:val="1"/>
      <w:marLeft w:val="0"/>
      <w:marRight w:val="0"/>
      <w:marTop w:val="0"/>
      <w:marBottom w:val="0"/>
      <w:divBdr>
        <w:top w:val="none" w:sz="0" w:space="0" w:color="auto"/>
        <w:left w:val="none" w:sz="0" w:space="0" w:color="auto"/>
        <w:bottom w:val="none" w:sz="0" w:space="0" w:color="auto"/>
        <w:right w:val="none" w:sz="0" w:space="0" w:color="auto"/>
      </w:divBdr>
    </w:div>
    <w:div w:id="1652099739">
      <w:bodyDiv w:val="1"/>
      <w:marLeft w:val="0"/>
      <w:marRight w:val="0"/>
      <w:marTop w:val="0"/>
      <w:marBottom w:val="0"/>
      <w:divBdr>
        <w:top w:val="none" w:sz="0" w:space="0" w:color="auto"/>
        <w:left w:val="none" w:sz="0" w:space="0" w:color="auto"/>
        <w:bottom w:val="none" w:sz="0" w:space="0" w:color="auto"/>
        <w:right w:val="none" w:sz="0" w:space="0" w:color="auto"/>
      </w:divBdr>
    </w:div>
    <w:div w:id="1732314128">
      <w:bodyDiv w:val="1"/>
      <w:marLeft w:val="0"/>
      <w:marRight w:val="0"/>
      <w:marTop w:val="0"/>
      <w:marBottom w:val="0"/>
      <w:divBdr>
        <w:top w:val="none" w:sz="0" w:space="0" w:color="auto"/>
        <w:left w:val="none" w:sz="0" w:space="0" w:color="auto"/>
        <w:bottom w:val="none" w:sz="0" w:space="0" w:color="auto"/>
        <w:right w:val="none" w:sz="0" w:space="0" w:color="auto"/>
      </w:divBdr>
    </w:div>
    <w:div w:id="1932346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588</Words>
  <Characters>3353</Characters>
  <Application>Microsoft Macintosh Word</Application>
  <DocSecurity>0</DocSecurity>
  <Lines>27</Lines>
  <Paragraphs>7</Paragraphs>
  <ScaleCrop>false</ScaleCrop>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52</cp:revision>
  <dcterms:created xsi:type="dcterms:W3CDTF">2020-09-21T09:21:00Z</dcterms:created>
  <dcterms:modified xsi:type="dcterms:W3CDTF">2020-09-23T13:38:00Z</dcterms:modified>
</cp:coreProperties>
</file>